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8420.xml.htm"/>
      <w:bookmarkStart w:id="1" w:name="kswkform4_17909784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Stewart 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DIGITALBRIDGE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PARK OF COMMERCE DRIVE,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DigitalBridge Group, Inc.</w:t>
              </w:r>
            </w:hyperlink>
            <w:r>
              <w:rPr/>
              <w:t xml:space="preserve"> [ </w:t>
            </w:r>
            <w:r>
              <w:rPr>
                <w:rFonts w:ascii="Times;serif" w:hAnsi="Times;serif"/>
                <w:color w:val="0000FF"/>
                <w:sz w:val="24"/>
                <w:shd w:fill="FFFFFF" w:val="clear"/>
              </w:rPr>
              <w:t>DBRG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309,373</w:t>
            </w:r>
            <w:r>
              <w:rPr>
                <w:rFonts w:ascii="Times;serif" w:hAnsi="Times;serif"/>
                <w:color w:val="008000"/>
                <w:position w:val="7"/>
                <w:sz w:val="16"/>
                <w:sz w:val="20"/>
                <w:shd w:fill="FFFFFF" w:val="clear"/>
              </w:rPr>
              <w:t>(2)</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r>
              <w:rPr>
                <w:rFonts w:ascii="Times;serif" w:hAnsi="Times;serif"/>
                <w:color w:val="008000"/>
                <w:position w:val="7"/>
                <w:sz w:val="16"/>
                <w:sz w:val="20"/>
                <w:shd w:fill="FFFFFF" w:val="clear"/>
              </w:rPr>
              <w:t>(1)(2)</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pursuant to an Agreement and Plan of Merger, dated as of December 29, 2025 (the "Merger Agreement"), by and among DigitalBridge Group, Inc. (the "Issuer"), Duncan Holdco LLC, Duncan Sub I Inc. ("Merger Sub I"), Duncan Sub II LLC ("Merger Sub II") and DigitalBridge Operating Company, LLC (the "OP"), among other things, (i) Merger Sub I merged with and into the Issuer (the "Company Merger") with the Issuer surviving the Company Merger and (ii) Merger Sub II merged with and into the OP (the "OP Merger") with the OP surviving the OP Merger. At the effective time of the Company Merger (the "Company Merger Effective Time"), each issued and outstanding share of the Issuer's common stock, par value $0.01 per share, (other than certain excluded shares) automatically converted into the right to receive $16.00 per share in cash, without interest and less any applicable withholding tax (the "Per Share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172,424 shares of restricted Class A Common Stock. As of immediately prior to the Company Merger Effective Time, each outstanding share of restricted Class A Common Stock granted to the reporting person by the Issuer became fully vested, and as of the Company Merger Effective Time, automatically converted into the right to receive the Per Share Merger Consideration plus a cash payment equal to the accumulated dividend equivalents as of immediately prior to the Company Merger Effective Time (if any) in respect of such share of restricted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Blake Clardy,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5812" TargetMode="External"/><Relationship Id="rId5" Type="http://schemas.openxmlformats.org/officeDocument/2006/relationships/hyperlink" Target="http://www.sec.gov/cgi-bin/browse-edgar?action=getcompany&amp;CIK=0001679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823</Words>
  <Characters>4415</Characters>
  <CharactersWithSpaces>5168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