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001-37980</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5552" w:type="dxa"/>
                    <w:jc w:val="center"/>
                    <w:tblInd w:w="0" w:type="dxa"/>
                    <w:tblLayout w:type="fixed"/>
                    <w:tblCellMar>
                      <w:top w:w="28" w:type="dxa"/>
                      <w:left w:w="28" w:type="dxa"/>
                      <w:bottom w:w="28" w:type="dxa"/>
                      <w:right w:w="28" w:type="dxa"/>
                    </w:tblCellMar>
                  </w:tblPr>
                  <w:tblGrid>
                    <w:gridCol w:w="1261"/>
                    <w:gridCol w:w="429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4291" w:type="dxa"/>
                        <w:tcBorders/>
                        <w:vAlign w:val="center"/>
                      </w:tcPr>
                      <w:p>
                        <w:pPr>
                          <w:pStyle w:val="TableContents"/>
                          <w:bidi w:val="0"/>
                          <w:spacing w:before="0" w:after="283"/>
                          <w:jc w:val="left"/>
                          <w:rPr/>
                        </w:pPr>
                        <w:hyperlink r:id="rId3">
                          <w:r>
                            <w:rPr>
                              <w:rStyle w:val="InternetLink"/>
                            </w:rPr>
                            <w:t>DigitalBridge Group,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429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 STOCK EXCHANGE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7487" w:type="dxa"/>
                    <w:jc w:val="center"/>
                    <w:tblInd w:w="0" w:type="dxa"/>
                    <w:tblLayout w:type="fixed"/>
                    <w:tblCellMar>
                      <w:top w:w="28" w:type="dxa"/>
                      <w:left w:w="28" w:type="dxa"/>
                      <w:bottom w:w="28" w:type="dxa"/>
                      <w:right w:w="28" w:type="dxa"/>
                    </w:tblCellMar>
                  </w:tblPr>
                  <w:tblGrid>
                    <w:gridCol w:w="2206"/>
                    <w:gridCol w:w="1395"/>
                    <w:gridCol w:w="1327"/>
                    <w:gridCol w:w="800"/>
                    <w:gridCol w:w="123"/>
                    <w:gridCol w:w="1636"/>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645"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 Park of Commerce Dr. Suite 210</w:t>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32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FLORIDA</w:t>
                        </w:r>
                      </w:p>
                    </w:tc>
                    <w:tc>
                      <w:tcPr>
                        <w:tcW w:w="80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33487</w:t>
                        </w:r>
                      </w:p>
                    </w:tc>
                    <w:tc>
                      <w:tcPr>
                        <w:tcW w:w="123" w:type="dxa"/>
                        <w:tcBorders/>
                      </w:tcPr>
                      <w:p>
                        <w:pPr>
                          <w:pStyle w:val="TableContents"/>
                          <w:bidi w:val="0"/>
                          <w:spacing w:before="0" w:after="283"/>
                          <w:jc w:val="left"/>
                          <w:rPr>
                            <w:sz w:val="4"/>
                            <w:szCs w:val="4"/>
                          </w:rPr>
                        </w:pPr>
                        <w:r>
                          <w:rPr>
                            <w:sz w:val="4"/>
                            <w:szCs w:val="4"/>
                          </w:rPr>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3645" w:type="dxa"/>
                        <w:gridSpan w:val="4"/>
                        <w:tcBorders/>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(310) 282-8820</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NEW YORK STOCK EXCHANGE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2026-09-30</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Victoria Paper</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Manager, Market Watch</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TextBody"/>
        <w:bidi w:val="0"/>
        <w:spacing w:before="0" w:after="283"/>
        <w:jc w:val="left"/>
        <w:rPr/>
      </w:pPr>
      <w:bookmarkStart w:id="5" w:name="ruleprovisionnotice.htm"/>
      <w:bookmarkStart w:id="6" w:name="ksruleprovisionnotice"/>
      <w:bookmarkEnd w:id="5"/>
      <w:bookmarkEnd w:id="6"/>
      <w:r>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October 12, 2026, pursuant to the provisions of Rule 12d2-2 (a). [ X ] 17 CFR 240.12d2-2(a)(3) That on September 30, 2026 the instruments representing the securities comprising the entire class of this security came to evidence, by operation of law or otherwise, other securities in substitution therefore and represent no other right except, if such be the fact, the right to receive an immediate cash payment. The merger between DigitalBridge Group, Inc. and Duncan Sub II LLC, a wholly owned subsidiary of Duncan Sub I Inc., a wholly owned subsidiary of Duncan Holdco LLC, a wholly owned, indirect subsidiary of SoftBank Group Corp. became effective before market open on September 30, 2026. Each share of Class A Common Stock was converted into USD 16.00 in cash, without interest, less any applicable fee, and tax. The Exchange also notifies the Securities and Exchange Commission that as a result of the above indicated conditions this security was suspended from trading on September 30, 2026.</w:t>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37980" TargetMode="External"/><Relationship Id="rId3" Type="http://schemas.openxmlformats.org/officeDocument/2006/relationships/hyperlink" Target="http://www.sec.gov/cgi-bin/browse-edgar?action=getcompany&amp;CIK=0001679688"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538</Words>
  <Characters>2869</Characters>
  <CharactersWithSpaces>3369</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